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A3" w:rsidRPr="00B06AD7" w:rsidRDefault="00CF0DA3" w:rsidP="00CF0DA3">
      <w:pPr>
        <w:jc w:val="center"/>
        <w:rPr>
          <w:rFonts w:ascii="Garamond" w:hAnsi="Garamond"/>
          <w:b/>
          <w:sz w:val="40"/>
          <w:szCs w:val="40"/>
        </w:rPr>
      </w:pPr>
      <w:r w:rsidRPr="00B06AD7">
        <w:rPr>
          <w:rFonts w:ascii="Garamond" w:hAnsi="Garamond"/>
          <w:b/>
          <w:sz w:val="40"/>
          <w:szCs w:val="40"/>
        </w:rPr>
        <w:t>USNESENÍ</w:t>
      </w:r>
    </w:p>
    <w:p w:rsidR="00CF0DA3" w:rsidRPr="00B06AD7" w:rsidRDefault="00CF0DA3" w:rsidP="00CF0DA3">
      <w:pPr>
        <w:jc w:val="center"/>
        <w:rPr>
          <w:rFonts w:ascii="Garamond" w:hAnsi="Garamond"/>
          <w:b/>
          <w:sz w:val="48"/>
          <w:szCs w:val="48"/>
        </w:rPr>
      </w:pPr>
    </w:p>
    <w:p w:rsidR="00CF0DA3" w:rsidRPr="00B06AD7" w:rsidRDefault="00CF0DA3" w:rsidP="00CF0DA3">
      <w:pPr>
        <w:spacing w:after="240"/>
        <w:jc w:val="both"/>
        <w:rPr>
          <w:rFonts w:ascii="Garamond" w:hAnsi="Garamond"/>
          <w:sz w:val="24"/>
          <w:szCs w:val="24"/>
        </w:rPr>
      </w:pPr>
      <w:r w:rsidRPr="00B06AD7">
        <w:rPr>
          <w:rFonts w:ascii="Garamond" w:hAnsi="Garamond"/>
          <w:sz w:val="24"/>
          <w:szCs w:val="24"/>
        </w:rPr>
        <w:t xml:space="preserve">Krajský soud v Českých Budějovicích rozhodl v neveřejném zasedání konaném dne 19. 1. 2022 v trestní věci </w:t>
      </w:r>
      <w:r w:rsidR="00B06AD7">
        <w:rPr>
          <w:rFonts w:ascii="Garamond" w:hAnsi="Garamond"/>
          <w:b/>
          <w:sz w:val="24"/>
          <w:szCs w:val="24"/>
        </w:rPr>
        <w:t xml:space="preserve">odsouzeného </w:t>
      </w:r>
      <w:proofErr w:type="spellStart"/>
      <w:r w:rsidR="00B06AD7">
        <w:rPr>
          <w:rFonts w:ascii="Garamond" w:hAnsi="Garamond"/>
          <w:b/>
          <w:sz w:val="24"/>
          <w:szCs w:val="24"/>
        </w:rPr>
        <w:t>Rxx</w:t>
      </w:r>
      <w:proofErr w:type="spellEnd"/>
      <w:r w:rsidR="00B06AD7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="00B06AD7">
        <w:rPr>
          <w:rFonts w:ascii="Garamond" w:hAnsi="Garamond"/>
          <w:b/>
          <w:sz w:val="24"/>
          <w:szCs w:val="24"/>
        </w:rPr>
        <w:t>Rxx</w:t>
      </w:r>
      <w:proofErr w:type="spellEnd"/>
      <w:r w:rsidR="00B06AD7">
        <w:rPr>
          <w:rFonts w:ascii="Garamond" w:hAnsi="Garamond"/>
          <w:b/>
          <w:sz w:val="24"/>
          <w:szCs w:val="24"/>
        </w:rPr>
        <w:t xml:space="preserve">, narozeného </w:t>
      </w:r>
      <w:proofErr w:type="spellStart"/>
      <w:r w:rsidR="00B06AD7">
        <w:rPr>
          <w:rFonts w:ascii="Garamond" w:hAnsi="Garamond"/>
          <w:b/>
          <w:sz w:val="24"/>
          <w:szCs w:val="24"/>
        </w:rPr>
        <w:t>xx</w:t>
      </w:r>
      <w:proofErr w:type="spellEnd"/>
      <w:r w:rsidRPr="00B06AD7">
        <w:rPr>
          <w:rFonts w:ascii="Garamond" w:hAnsi="Garamond"/>
          <w:b/>
          <w:sz w:val="24"/>
          <w:szCs w:val="24"/>
        </w:rPr>
        <w:t xml:space="preserve">, </w:t>
      </w:r>
      <w:r w:rsidRPr="00B06AD7">
        <w:rPr>
          <w:rFonts w:ascii="Garamond" w:hAnsi="Garamond"/>
          <w:sz w:val="24"/>
          <w:szCs w:val="24"/>
        </w:rPr>
        <w:t xml:space="preserve">vedené pro přečin výtržnictví podle § 358 odst. 1 </w:t>
      </w:r>
      <w:proofErr w:type="spellStart"/>
      <w:r w:rsidRPr="00B06AD7">
        <w:rPr>
          <w:rFonts w:ascii="Garamond" w:hAnsi="Garamond"/>
          <w:sz w:val="24"/>
          <w:szCs w:val="24"/>
        </w:rPr>
        <w:t>tr</w:t>
      </w:r>
      <w:proofErr w:type="spellEnd"/>
      <w:r w:rsidRPr="00B06AD7">
        <w:rPr>
          <w:rFonts w:ascii="Garamond" w:hAnsi="Garamond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sz w:val="24"/>
          <w:szCs w:val="24"/>
        </w:rPr>
        <w:t>, o stížnosti odsouzeného podané za něho ustanoveným obhájcem v řízení proti uprchlému proti usnesení Okresního soudu v Českých Budějovicích ze dne 19. 6. 2020, č. j. 38 T 162/2017-156,</w:t>
      </w:r>
    </w:p>
    <w:p w:rsidR="00CF0DA3" w:rsidRPr="00B06AD7" w:rsidRDefault="00CF0DA3" w:rsidP="00CF0DA3">
      <w:pPr>
        <w:spacing w:after="120"/>
        <w:jc w:val="center"/>
        <w:rPr>
          <w:rFonts w:ascii="Garamond" w:hAnsi="Garamond"/>
          <w:b/>
          <w:sz w:val="24"/>
          <w:szCs w:val="24"/>
        </w:rPr>
      </w:pPr>
      <w:r w:rsidRPr="00B06AD7">
        <w:rPr>
          <w:rFonts w:ascii="Garamond" w:hAnsi="Garamond"/>
          <w:b/>
          <w:sz w:val="24"/>
          <w:szCs w:val="24"/>
        </w:rPr>
        <w:t>takto:</w:t>
      </w:r>
    </w:p>
    <w:p w:rsidR="00CF0DA3" w:rsidRPr="00B06AD7" w:rsidRDefault="00CF0DA3" w:rsidP="00CF0DA3">
      <w:pPr>
        <w:spacing w:after="240"/>
        <w:jc w:val="both"/>
        <w:rPr>
          <w:rFonts w:ascii="Garamond" w:hAnsi="Garamond"/>
          <w:b/>
          <w:sz w:val="24"/>
          <w:szCs w:val="24"/>
        </w:rPr>
      </w:pPr>
      <w:r w:rsidRPr="00B06AD7">
        <w:rPr>
          <w:rFonts w:ascii="Garamond" w:hAnsi="Garamond"/>
          <w:b/>
          <w:sz w:val="24"/>
          <w:szCs w:val="24"/>
        </w:rPr>
        <w:t xml:space="preserve">Stížnost se podle § 148 odst. 1 písm. c) </w:t>
      </w:r>
      <w:proofErr w:type="spellStart"/>
      <w:r w:rsidRPr="00B06AD7">
        <w:rPr>
          <w:rFonts w:ascii="Garamond" w:hAnsi="Garamond"/>
          <w:b/>
          <w:sz w:val="24"/>
          <w:szCs w:val="24"/>
        </w:rPr>
        <w:t>tr</w:t>
      </w:r>
      <w:proofErr w:type="spellEnd"/>
      <w:r w:rsidRPr="00B06AD7">
        <w:rPr>
          <w:rFonts w:ascii="Garamond" w:hAnsi="Garamond"/>
          <w:b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b/>
          <w:sz w:val="24"/>
          <w:szCs w:val="24"/>
        </w:rPr>
        <w:t>řádu</w:t>
      </w:r>
      <w:proofErr w:type="gramEnd"/>
      <w:r w:rsidRPr="00B06AD7">
        <w:rPr>
          <w:rFonts w:ascii="Garamond" w:hAnsi="Garamond"/>
          <w:b/>
          <w:sz w:val="24"/>
          <w:szCs w:val="24"/>
        </w:rPr>
        <w:t xml:space="preserve"> zamítá.</w:t>
      </w:r>
    </w:p>
    <w:p w:rsidR="00CF0DA3" w:rsidRPr="00B06AD7" w:rsidRDefault="00CF0DA3" w:rsidP="00CF0DA3">
      <w:pPr>
        <w:spacing w:after="120"/>
        <w:jc w:val="center"/>
        <w:rPr>
          <w:rFonts w:ascii="Garamond" w:hAnsi="Garamond"/>
          <w:b/>
          <w:sz w:val="24"/>
          <w:szCs w:val="24"/>
        </w:rPr>
      </w:pPr>
      <w:r w:rsidRPr="00B06AD7">
        <w:rPr>
          <w:rFonts w:ascii="Garamond" w:hAnsi="Garamond"/>
          <w:b/>
          <w:sz w:val="24"/>
          <w:szCs w:val="24"/>
        </w:rPr>
        <w:t>Odůvodnění: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 w:hanging="357"/>
        <w:jc w:val="both"/>
        <w:rPr>
          <w:rFonts w:ascii="Garamond" w:hAnsi="Garamond"/>
          <w:sz w:val="24"/>
          <w:szCs w:val="24"/>
        </w:rPr>
      </w:pPr>
      <w:r w:rsidRPr="00B06AD7">
        <w:rPr>
          <w:rFonts w:ascii="Garamond" w:hAnsi="Garamond"/>
          <w:sz w:val="24"/>
          <w:szCs w:val="24"/>
        </w:rPr>
        <w:t>Usnesením Okresního soudu v Českých Budějovicích ze dne 19. 6. 2020, č.</w:t>
      </w:r>
      <w:r w:rsidR="00EC30CA" w:rsidRPr="00B06AD7">
        <w:rPr>
          <w:rFonts w:ascii="Garamond" w:hAnsi="Garamond"/>
          <w:sz w:val="24"/>
          <w:szCs w:val="24"/>
        </w:rPr>
        <w:t xml:space="preserve"> </w:t>
      </w:r>
      <w:r w:rsidRPr="00B06AD7">
        <w:rPr>
          <w:rFonts w:ascii="Garamond" w:hAnsi="Garamond"/>
          <w:sz w:val="24"/>
          <w:szCs w:val="24"/>
        </w:rPr>
        <w:t>j. 38 T 162/2017-156, bylo rozhodnuto následovně:</w:t>
      </w:r>
    </w:p>
    <w:p w:rsidR="00CF0DA3" w:rsidRPr="00B06AD7" w:rsidRDefault="00CF0DA3" w:rsidP="00CF0DA3">
      <w:pPr>
        <w:spacing w:after="120"/>
        <w:jc w:val="center"/>
        <w:rPr>
          <w:rFonts w:ascii="Garamond" w:eastAsia="MinionPro-Regular" w:hAnsi="Garamond"/>
          <w:b/>
          <w:i/>
        </w:rPr>
      </w:pPr>
      <w:r w:rsidRPr="00B06AD7">
        <w:rPr>
          <w:rFonts w:ascii="Garamond" w:eastAsia="MinionPro-Regular" w:hAnsi="Garamond"/>
          <w:b/>
          <w:i/>
        </w:rPr>
        <w:t>I.</w:t>
      </w:r>
    </w:p>
    <w:p w:rsidR="00CF0DA3" w:rsidRPr="00B06AD7" w:rsidRDefault="00CF0DA3" w:rsidP="00CF0DA3">
      <w:pPr>
        <w:spacing w:after="120"/>
        <w:jc w:val="both"/>
        <w:rPr>
          <w:rFonts w:ascii="Garamond" w:eastAsia="MinionPro-Regular" w:hAnsi="Garamond"/>
          <w:i/>
        </w:rPr>
      </w:pPr>
      <w:r w:rsidRPr="00B06AD7">
        <w:rPr>
          <w:rFonts w:ascii="Garamond" w:eastAsia="MinionPro-Regular" w:hAnsi="Garamond"/>
          <w:i/>
        </w:rPr>
        <w:t xml:space="preserve">Podle § 83 odst. 1 písm. b)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zákoníku  za užití § 330 odst. 1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řádu se podmíněné odsouzení odsouzeného </w:t>
      </w:r>
      <w:proofErr w:type="spellStart"/>
      <w:r w:rsidR="00B06AD7">
        <w:rPr>
          <w:rFonts w:ascii="Garamond" w:hAnsi="Garamond"/>
          <w:i/>
        </w:rPr>
        <w:t>Rxx</w:t>
      </w:r>
      <w:proofErr w:type="spellEnd"/>
      <w:r w:rsidR="00B06AD7">
        <w:rPr>
          <w:rFonts w:ascii="Garamond" w:hAnsi="Garamond"/>
          <w:i/>
        </w:rPr>
        <w:t xml:space="preserve"> </w:t>
      </w:r>
      <w:proofErr w:type="spellStart"/>
      <w:r w:rsidR="00B06AD7">
        <w:rPr>
          <w:rFonts w:ascii="Garamond" w:hAnsi="Garamond"/>
          <w:i/>
        </w:rPr>
        <w:t>Rxx</w:t>
      </w:r>
      <w:proofErr w:type="spellEnd"/>
      <w:r w:rsidR="00B06AD7">
        <w:rPr>
          <w:rFonts w:ascii="Garamond" w:hAnsi="Garamond"/>
          <w:i/>
        </w:rPr>
        <w:t xml:space="preserve">, narozeného </w:t>
      </w:r>
      <w:proofErr w:type="spellStart"/>
      <w:r w:rsidR="00B06AD7">
        <w:rPr>
          <w:rFonts w:ascii="Garamond" w:hAnsi="Garamond"/>
          <w:i/>
        </w:rPr>
        <w:t>xx</w:t>
      </w:r>
      <w:proofErr w:type="spellEnd"/>
      <w:r w:rsidR="00B06AD7">
        <w:rPr>
          <w:rFonts w:ascii="Garamond" w:hAnsi="Garamond"/>
          <w:i/>
        </w:rPr>
        <w:t xml:space="preserve"> v </w:t>
      </w:r>
      <w:proofErr w:type="spellStart"/>
      <w:r w:rsidR="00B06AD7">
        <w:rPr>
          <w:rFonts w:ascii="Garamond" w:hAnsi="Garamond"/>
          <w:i/>
        </w:rPr>
        <w:t>xx</w:t>
      </w:r>
      <w:proofErr w:type="spellEnd"/>
      <w:r w:rsidRPr="00B06AD7">
        <w:rPr>
          <w:rFonts w:ascii="Garamond" w:eastAsia="MinionPro-Regular" w:hAnsi="Garamond"/>
          <w:i/>
        </w:rPr>
        <w:t xml:space="preserve">, k trestu odnětí svobody v trvaní 10 měsíců s podmíněným odkladem na zkušební dobu v trvání 30 měsíců vyslovené trestním příkazem Okresního soudu v Českých Budějovicích ze dne </w:t>
      </w:r>
      <w:r w:rsidRPr="00B06AD7">
        <w:rPr>
          <w:rFonts w:ascii="Garamond" w:hAnsi="Garamond"/>
          <w:i/>
        </w:rPr>
        <w:t xml:space="preserve">12. 11. 2017, </w:t>
      </w:r>
      <w:r w:rsidR="00EC30CA" w:rsidRPr="00B06AD7">
        <w:rPr>
          <w:rFonts w:ascii="Garamond" w:hAnsi="Garamond"/>
          <w:i/>
        </w:rPr>
        <w:br/>
      </w:r>
      <w:proofErr w:type="gramStart"/>
      <w:r w:rsidRPr="00B06AD7">
        <w:rPr>
          <w:rFonts w:ascii="Garamond" w:hAnsi="Garamond"/>
          <w:i/>
        </w:rPr>
        <w:t>č.j.</w:t>
      </w:r>
      <w:proofErr w:type="gramEnd"/>
      <w:r w:rsidRPr="00B06AD7">
        <w:rPr>
          <w:rFonts w:ascii="Garamond" w:hAnsi="Garamond"/>
          <w:i/>
        </w:rPr>
        <w:t xml:space="preserve"> </w:t>
      </w:r>
      <w:r w:rsidRPr="00B06AD7">
        <w:rPr>
          <w:rFonts w:ascii="Garamond" w:hAnsi="Garamond"/>
          <w:bCs/>
          <w:i/>
        </w:rPr>
        <w:t>38 T 162/2017-76</w:t>
      </w:r>
      <w:r w:rsidRPr="00B06AD7">
        <w:rPr>
          <w:rFonts w:ascii="Garamond" w:hAnsi="Garamond"/>
          <w:i/>
        </w:rPr>
        <w:t>, který nabyl právní moci dne 12. 11. 2017</w:t>
      </w:r>
      <w:r w:rsidRPr="00B06AD7">
        <w:rPr>
          <w:rFonts w:ascii="Garamond" w:eastAsia="MinionPro-Regular" w:hAnsi="Garamond"/>
          <w:i/>
        </w:rPr>
        <w:t xml:space="preserve">, </w:t>
      </w:r>
      <w:r w:rsidRPr="00B06AD7">
        <w:rPr>
          <w:rFonts w:ascii="Garamond" w:eastAsia="MinionPro-Regular" w:hAnsi="Garamond"/>
          <w:b/>
          <w:i/>
        </w:rPr>
        <w:t>ponechává v platnosti</w:t>
      </w:r>
      <w:r w:rsidRPr="00B06AD7">
        <w:rPr>
          <w:rFonts w:ascii="Garamond" w:eastAsia="MinionPro-Regular" w:hAnsi="Garamond"/>
          <w:i/>
        </w:rPr>
        <w:t>.</w:t>
      </w:r>
    </w:p>
    <w:p w:rsidR="00CF0DA3" w:rsidRPr="00B06AD7" w:rsidRDefault="00CF0DA3" w:rsidP="00CF0DA3">
      <w:pPr>
        <w:spacing w:after="120"/>
        <w:jc w:val="both"/>
        <w:rPr>
          <w:rFonts w:ascii="Garamond" w:eastAsia="MinionPro-Regular" w:hAnsi="Garamond"/>
          <w:i/>
        </w:rPr>
      </w:pPr>
      <w:r w:rsidRPr="00B06AD7">
        <w:rPr>
          <w:rFonts w:ascii="Garamond" w:eastAsia="MinionPro-Regular" w:hAnsi="Garamond"/>
          <w:i/>
        </w:rPr>
        <w:t xml:space="preserve">Podle § 83 odst. 1 písm. b)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</w:t>
      </w:r>
      <w:proofErr w:type="gramStart"/>
      <w:r w:rsidRPr="00B06AD7">
        <w:rPr>
          <w:rFonts w:ascii="Garamond" w:eastAsia="MinionPro-Regular" w:hAnsi="Garamond"/>
          <w:i/>
        </w:rPr>
        <w:t>zák.</w:t>
      </w:r>
      <w:proofErr w:type="gramEnd"/>
      <w:r w:rsidRPr="00B06AD7">
        <w:rPr>
          <w:rFonts w:ascii="Garamond" w:eastAsia="MinionPro-Regular" w:hAnsi="Garamond"/>
          <w:i/>
        </w:rPr>
        <w:t xml:space="preserve"> se </w:t>
      </w:r>
      <w:r w:rsidRPr="00B06AD7">
        <w:rPr>
          <w:rFonts w:ascii="Garamond" w:eastAsia="MinionPro-Regular" w:hAnsi="Garamond"/>
          <w:b/>
          <w:i/>
        </w:rPr>
        <w:t>prodlužuje zkušební doba o 2 (dva) roky</w:t>
      </w:r>
      <w:r w:rsidRPr="00B06AD7">
        <w:rPr>
          <w:rFonts w:ascii="Garamond" w:eastAsia="MinionPro-Regular" w:hAnsi="Garamond"/>
          <w:i/>
        </w:rPr>
        <w:t>.</w:t>
      </w:r>
    </w:p>
    <w:p w:rsidR="00CF0DA3" w:rsidRPr="00B06AD7" w:rsidRDefault="00CF0DA3" w:rsidP="00CF0DA3">
      <w:pPr>
        <w:spacing w:after="120"/>
        <w:jc w:val="center"/>
        <w:rPr>
          <w:rFonts w:ascii="Garamond" w:eastAsia="MinionPro-Regular" w:hAnsi="Garamond"/>
          <w:b/>
          <w:i/>
        </w:rPr>
      </w:pPr>
      <w:r w:rsidRPr="00B06AD7">
        <w:rPr>
          <w:rFonts w:ascii="Garamond" w:eastAsia="MinionPro-Regular" w:hAnsi="Garamond"/>
          <w:b/>
          <w:i/>
        </w:rPr>
        <w:t>II.</w:t>
      </w:r>
    </w:p>
    <w:p w:rsidR="00CF0DA3" w:rsidRPr="00B06AD7" w:rsidRDefault="00CF0DA3" w:rsidP="00CF0DA3">
      <w:pPr>
        <w:spacing w:after="120"/>
        <w:jc w:val="both"/>
        <w:rPr>
          <w:rFonts w:ascii="Garamond" w:eastAsia="MinionPro-Regular" w:hAnsi="Garamond"/>
          <w:i/>
        </w:rPr>
      </w:pPr>
      <w:r w:rsidRPr="00B06AD7">
        <w:rPr>
          <w:rFonts w:ascii="Garamond" w:eastAsia="MinionPro-Regular" w:hAnsi="Garamond"/>
          <w:i/>
        </w:rPr>
        <w:t xml:space="preserve">Podle § 83 odst. 1 písm. b)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zákoníku  za užití § 330 odst. 1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řádu se podmíněné odsouzení odsouzené </w:t>
      </w:r>
      <w:proofErr w:type="spellStart"/>
      <w:r w:rsidR="00B06AD7">
        <w:rPr>
          <w:rFonts w:ascii="Garamond" w:hAnsi="Garamond"/>
          <w:i/>
        </w:rPr>
        <w:t>Lxx</w:t>
      </w:r>
      <w:proofErr w:type="spellEnd"/>
      <w:r w:rsidR="00B06AD7">
        <w:rPr>
          <w:rFonts w:ascii="Garamond" w:hAnsi="Garamond"/>
          <w:i/>
        </w:rPr>
        <w:t xml:space="preserve"> </w:t>
      </w:r>
      <w:proofErr w:type="spellStart"/>
      <w:r w:rsidR="00B06AD7">
        <w:rPr>
          <w:rFonts w:ascii="Garamond" w:hAnsi="Garamond"/>
          <w:i/>
        </w:rPr>
        <w:t>Fxx</w:t>
      </w:r>
      <w:proofErr w:type="spellEnd"/>
      <w:r w:rsidRPr="00B06AD7">
        <w:rPr>
          <w:rFonts w:ascii="Garamond" w:hAnsi="Garamond"/>
          <w:i/>
        </w:rPr>
        <w:t xml:space="preserve">, narozené </w:t>
      </w:r>
      <w:r w:rsidR="00EC30CA" w:rsidRPr="00B06AD7">
        <w:rPr>
          <w:rFonts w:ascii="Garamond" w:hAnsi="Garamond"/>
          <w:i/>
        </w:rPr>
        <w:br/>
      </w:r>
      <w:proofErr w:type="spellStart"/>
      <w:r w:rsidR="00B06AD7">
        <w:rPr>
          <w:rFonts w:ascii="Garamond" w:hAnsi="Garamond"/>
          <w:i/>
        </w:rPr>
        <w:t>xx</w:t>
      </w:r>
      <w:proofErr w:type="spellEnd"/>
      <w:r w:rsidR="00B06AD7">
        <w:rPr>
          <w:rFonts w:ascii="Garamond" w:hAnsi="Garamond"/>
          <w:i/>
        </w:rPr>
        <w:t xml:space="preserve"> v </w:t>
      </w:r>
      <w:proofErr w:type="spellStart"/>
      <w:r w:rsidR="00B06AD7">
        <w:rPr>
          <w:rFonts w:ascii="Garamond" w:hAnsi="Garamond"/>
          <w:i/>
        </w:rPr>
        <w:t>xx</w:t>
      </w:r>
      <w:proofErr w:type="spellEnd"/>
      <w:r w:rsidRPr="00B06AD7">
        <w:rPr>
          <w:rFonts w:ascii="Garamond" w:eastAsia="MinionPro-Regular" w:hAnsi="Garamond"/>
          <w:i/>
        </w:rPr>
        <w:t xml:space="preserve">, k trestu odnětí svobody v trvaní 10 měsíců s podmíněným odkladem na zkušební dobu v trvání </w:t>
      </w:r>
      <w:r w:rsidR="00EC30CA" w:rsidRPr="00B06AD7">
        <w:rPr>
          <w:rFonts w:ascii="Garamond" w:eastAsia="MinionPro-Regular" w:hAnsi="Garamond"/>
          <w:i/>
        </w:rPr>
        <w:br/>
      </w:r>
      <w:r w:rsidRPr="00B06AD7">
        <w:rPr>
          <w:rFonts w:ascii="Garamond" w:eastAsia="MinionPro-Regular" w:hAnsi="Garamond"/>
          <w:i/>
        </w:rPr>
        <w:t xml:space="preserve">30 měsíců vyslovené trestním příkazem Okresního soudu v Českých Budějovicích ze dne </w:t>
      </w:r>
      <w:r w:rsidRPr="00B06AD7">
        <w:rPr>
          <w:rFonts w:ascii="Garamond" w:hAnsi="Garamond"/>
          <w:i/>
        </w:rPr>
        <w:t xml:space="preserve">12. 11. 2017, </w:t>
      </w:r>
      <w:proofErr w:type="gramStart"/>
      <w:r w:rsidRPr="00B06AD7">
        <w:rPr>
          <w:rFonts w:ascii="Garamond" w:hAnsi="Garamond"/>
          <w:i/>
        </w:rPr>
        <w:t>č.j.</w:t>
      </w:r>
      <w:proofErr w:type="gramEnd"/>
      <w:r w:rsidRPr="00B06AD7">
        <w:rPr>
          <w:rFonts w:ascii="Garamond" w:hAnsi="Garamond"/>
          <w:i/>
        </w:rPr>
        <w:t xml:space="preserve"> </w:t>
      </w:r>
      <w:r w:rsidRPr="00B06AD7">
        <w:rPr>
          <w:rFonts w:ascii="Garamond" w:hAnsi="Garamond"/>
          <w:bCs/>
          <w:i/>
        </w:rPr>
        <w:t>38 T 162/2017-76</w:t>
      </w:r>
      <w:r w:rsidRPr="00B06AD7">
        <w:rPr>
          <w:rFonts w:ascii="Garamond" w:hAnsi="Garamond"/>
          <w:i/>
        </w:rPr>
        <w:t>, který nabyl právní moci dne 12. 11. 2017</w:t>
      </w:r>
      <w:r w:rsidRPr="00B06AD7">
        <w:rPr>
          <w:rFonts w:ascii="Garamond" w:eastAsia="MinionPro-Regular" w:hAnsi="Garamond"/>
          <w:i/>
        </w:rPr>
        <w:t xml:space="preserve">, </w:t>
      </w:r>
      <w:r w:rsidRPr="00B06AD7">
        <w:rPr>
          <w:rFonts w:ascii="Garamond" w:eastAsia="MinionPro-Regular" w:hAnsi="Garamond"/>
          <w:b/>
          <w:i/>
        </w:rPr>
        <w:t>ponechává v platnosti</w:t>
      </w:r>
      <w:r w:rsidRPr="00B06AD7">
        <w:rPr>
          <w:rFonts w:ascii="Garamond" w:eastAsia="MinionPro-Regular" w:hAnsi="Garamond"/>
          <w:i/>
        </w:rPr>
        <w:t>.</w:t>
      </w:r>
    </w:p>
    <w:p w:rsidR="00CF0DA3" w:rsidRPr="00B06AD7" w:rsidRDefault="00CF0DA3" w:rsidP="00CF0DA3">
      <w:pPr>
        <w:spacing w:after="120"/>
        <w:jc w:val="both"/>
        <w:rPr>
          <w:rFonts w:ascii="Garamond" w:eastAsia="MinionPro-Regular" w:hAnsi="Garamond"/>
          <w:i/>
        </w:rPr>
      </w:pPr>
      <w:r w:rsidRPr="00B06AD7">
        <w:rPr>
          <w:rFonts w:ascii="Garamond" w:eastAsia="MinionPro-Regular" w:hAnsi="Garamond"/>
          <w:i/>
        </w:rPr>
        <w:t xml:space="preserve">Podle § 83 odst. 1 písm. b) </w:t>
      </w:r>
      <w:proofErr w:type="spellStart"/>
      <w:r w:rsidRPr="00B06AD7">
        <w:rPr>
          <w:rFonts w:ascii="Garamond" w:eastAsia="MinionPro-Regular" w:hAnsi="Garamond"/>
          <w:i/>
        </w:rPr>
        <w:t>tr</w:t>
      </w:r>
      <w:proofErr w:type="spellEnd"/>
      <w:r w:rsidRPr="00B06AD7">
        <w:rPr>
          <w:rFonts w:ascii="Garamond" w:eastAsia="MinionPro-Regular" w:hAnsi="Garamond"/>
          <w:i/>
        </w:rPr>
        <w:t xml:space="preserve">. </w:t>
      </w:r>
      <w:proofErr w:type="gramStart"/>
      <w:r w:rsidRPr="00B06AD7">
        <w:rPr>
          <w:rFonts w:ascii="Garamond" w:eastAsia="MinionPro-Regular" w:hAnsi="Garamond"/>
          <w:i/>
        </w:rPr>
        <w:t>zák.</w:t>
      </w:r>
      <w:proofErr w:type="gramEnd"/>
      <w:r w:rsidRPr="00B06AD7">
        <w:rPr>
          <w:rFonts w:ascii="Garamond" w:eastAsia="MinionPro-Regular" w:hAnsi="Garamond"/>
          <w:i/>
        </w:rPr>
        <w:t xml:space="preserve"> se </w:t>
      </w:r>
      <w:r w:rsidRPr="00B06AD7">
        <w:rPr>
          <w:rFonts w:ascii="Garamond" w:eastAsia="MinionPro-Regular" w:hAnsi="Garamond"/>
          <w:b/>
          <w:i/>
        </w:rPr>
        <w:t>prodlužuje zkušební doba o 2 (dva) roky</w:t>
      </w:r>
      <w:r w:rsidRPr="00B06AD7">
        <w:rPr>
          <w:rFonts w:ascii="Garamond" w:eastAsia="MinionPro-Regular" w:hAnsi="Garamond"/>
          <w:i/>
        </w:rPr>
        <w:t>.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eastAsia="MinionPro-Regular" w:hAnsi="Garamond"/>
          <w:sz w:val="24"/>
          <w:szCs w:val="24"/>
        </w:rPr>
      </w:pPr>
      <w:r w:rsidRPr="00B06AD7">
        <w:rPr>
          <w:rFonts w:ascii="Garamond" w:eastAsia="MinionPro-Regular" w:hAnsi="Garamond"/>
          <w:sz w:val="24"/>
          <w:szCs w:val="24"/>
        </w:rPr>
        <w:t xml:space="preserve">Uvedené rozhodnutí, které bylo vyhlášeno v nepřítomnosti odsouzených, se jim následně nepodařilo doručit, neboť ani cestou mezinárodní právní pomoci nebyl zjištěn aktuální pobyt odsouzených. Po vyčerpání veškerých možností rozhodl okresní soud usnesením ze dne </w:t>
      </w:r>
      <w:r w:rsidR="00EC30CA" w:rsidRPr="00B06AD7">
        <w:rPr>
          <w:rFonts w:ascii="Garamond" w:eastAsia="MinionPro-Regular" w:hAnsi="Garamond"/>
          <w:sz w:val="24"/>
          <w:szCs w:val="24"/>
        </w:rPr>
        <w:br/>
      </w:r>
      <w:r w:rsidRPr="00B06AD7">
        <w:rPr>
          <w:rFonts w:ascii="Garamond" w:eastAsia="MinionPro-Regular" w:hAnsi="Garamond"/>
          <w:sz w:val="24"/>
          <w:szCs w:val="24"/>
        </w:rPr>
        <w:t>13. 12. 2021, č.</w:t>
      </w:r>
      <w:r w:rsidR="00EC30CA" w:rsidRPr="00B06AD7">
        <w:rPr>
          <w:rFonts w:ascii="Garamond" w:eastAsia="MinionPro-Regular" w:hAnsi="Garamond"/>
          <w:sz w:val="24"/>
          <w:szCs w:val="24"/>
        </w:rPr>
        <w:t xml:space="preserve"> </w:t>
      </w:r>
      <w:r w:rsidRPr="00B06AD7">
        <w:rPr>
          <w:rFonts w:ascii="Garamond" w:eastAsia="MinionPro-Regular" w:hAnsi="Garamond"/>
          <w:sz w:val="24"/>
          <w:szCs w:val="24"/>
        </w:rPr>
        <w:t xml:space="preserve">j. 38 T 162/2017-252, o konání dalšího řízení proti odsouzeným jako proti uprchlým ve smyslu § 302 </w:t>
      </w:r>
      <w:proofErr w:type="spellStart"/>
      <w:r w:rsidRPr="00B06AD7">
        <w:rPr>
          <w:rFonts w:ascii="Garamond" w:eastAsia="MinionPro-Regular" w:hAnsi="Garamond"/>
          <w:sz w:val="24"/>
          <w:szCs w:val="24"/>
        </w:rPr>
        <w:t>tr</w:t>
      </w:r>
      <w:proofErr w:type="spellEnd"/>
      <w:r w:rsidRPr="00B06AD7">
        <w:rPr>
          <w:rFonts w:ascii="Garamond" w:eastAsia="MinionPro-Regular" w:hAnsi="Garamond"/>
          <w:sz w:val="24"/>
          <w:szCs w:val="24"/>
        </w:rPr>
        <w:t xml:space="preserve">. </w:t>
      </w:r>
      <w:proofErr w:type="gramStart"/>
      <w:r w:rsidRPr="00B06AD7">
        <w:rPr>
          <w:rFonts w:ascii="Garamond" w:eastAsia="MinionPro-Regular" w:hAnsi="Garamond"/>
          <w:sz w:val="24"/>
          <w:szCs w:val="24"/>
        </w:rPr>
        <w:t>řádu</w:t>
      </w:r>
      <w:proofErr w:type="gramEnd"/>
      <w:r w:rsidRPr="00B06AD7">
        <w:rPr>
          <w:rFonts w:ascii="Garamond" w:eastAsia="MinionPro-Regular" w:hAnsi="Garamond"/>
          <w:sz w:val="24"/>
          <w:szCs w:val="24"/>
        </w:rPr>
        <w:t xml:space="preserve"> a násl. Odsouzeným byli ustanoveni opatřením okresního soudu obhájci, jimž bylo napadené usnesení doručeno.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>Proti tomuto rozhodnutí podal v zákonné lhůtě prostřednictvím takto ustanoveného o</w:t>
      </w:r>
      <w:r w:rsidR="00B06AD7">
        <w:rPr>
          <w:rFonts w:ascii="Garamond" w:hAnsi="Garamond"/>
          <w:color w:val="000000"/>
          <w:sz w:val="24"/>
          <w:szCs w:val="24"/>
        </w:rPr>
        <w:t xml:space="preserve">bhájce stížnost odsouzený </w:t>
      </w:r>
      <w:proofErr w:type="spellStart"/>
      <w:r w:rsidR="00B06AD7">
        <w:rPr>
          <w:rFonts w:ascii="Garamond" w:hAnsi="Garamond"/>
          <w:color w:val="000000"/>
          <w:sz w:val="24"/>
          <w:szCs w:val="24"/>
        </w:rPr>
        <w:t>Rxx</w:t>
      </w:r>
      <w:proofErr w:type="spellEnd"/>
      <w:r w:rsidR="00B06AD7">
        <w:rPr>
          <w:rFonts w:ascii="Garamond" w:hAnsi="Garamond"/>
          <w:color w:val="000000"/>
          <w:sz w:val="24"/>
          <w:szCs w:val="24"/>
        </w:rPr>
        <w:t xml:space="preserve"> </w:t>
      </w:r>
      <w:proofErr w:type="spellStart"/>
      <w:r w:rsidR="00B06AD7">
        <w:rPr>
          <w:rFonts w:ascii="Garamond" w:hAnsi="Garamond"/>
          <w:color w:val="000000"/>
          <w:sz w:val="24"/>
          <w:szCs w:val="24"/>
        </w:rPr>
        <w:t>Rxx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>. Namítl, že původním odsuzujícím rozhodnutím byla zkušební doba stanovena na 30 měsíců a jejím prodloužením o dva roky by nyní činila téměř maximální možnou délku. Soud měl  vzít v potaz, že odsou</w:t>
      </w:r>
      <w:bookmarkStart w:id="0" w:name="_GoBack"/>
      <w:bookmarkEnd w:id="0"/>
      <w:r w:rsidRPr="00B06AD7">
        <w:rPr>
          <w:rFonts w:ascii="Garamond" w:hAnsi="Garamond"/>
          <w:color w:val="000000"/>
          <w:sz w:val="24"/>
          <w:szCs w:val="24"/>
        </w:rPr>
        <w:t xml:space="preserve">zený se dopustil méně závažné trestné činnosti podle § 337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, když náhodnou kontrolou ze strany cizinecké policie  bylo zjištěno,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 xml:space="preserve">že nerespektuje jemu uložený trest vyhoštění. Dostatečné by mělo být prodloužení zkušební doby maximálně o jeden rok. Ve smyslu popsané námitky byl učiněn návrh na změnu napadeného rozhodnutí. 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Stížnostní soud podle § 147 odst. 1, 2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řádu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přezkoumal správnost toliko výroku pod bodem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>I. napadeného usnesení, jelikož v části týkající se druhé odsouzené nebylo rozhodnutí napadeno opravným prostředkem.  Přezkoumáno bylo i řízení předcházející napadené části rozhodnutí.  Stížnostní soud poté dospěl k následujícím závěrům.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>V řízení předcházejícím rozhodnutí nedošlo k žádným procesním vadám, pro které by napadené usnesen</w:t>
      </w:r>
      <w:r w:rsidR="00EC30CA" w:rsidRPr="00B06AD7">
        <w:rPr>
          <w:rFonts w:ascii="Garamond" w:hAnsi="Garamond"/>
          <w:color w:val="000000"/>
          <w:sz w:val="24"/>
          <w:szCs w:val="24"/>
        </w:rPr>
        <w:t>í nemohlo bez dalšího obstát. Ve</w:t>
      </w:r>
      <w:r w:rsidRPr="00B06AD7">
        <w:rPr>
          <w:rFonts w:ascii="Garamond" w:hAnsi="Garamond"/>
          <w:color w:val="000000"/>
          <w:sz w:val="24"/>
          <w:szCs w:val="24"/>
        </w:rPr>
        <w:t xml:space="preserve"> věci rozhodovala samosoudkyně soudu příslušného ve smyslu § 315 odst. 2, § 314a odst. 1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řádu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. K rozhodnutí bylo v souladu s ustanovením § 330 </w:t>
      </w:r>
      <w:r w:rsidRPr="00B06AD7">
        <w:rPr>
          <w:rFonts w:ascii="Garamond" w:hAnsi="Garamond"/>
          <w:color w:val="000000"/>
          <w:sz w:val="24"/>
          <w:szCs w:val="24"/>
        </w:rPr>
        <w:lastRenderedPageBreak/>
        <w:t xml:space="preserve">odst. 1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řádu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ve znění účinném do 31. 12. 2021 nařízeno veřejné zasedání, o jehož konání byl odsouzený vyrozuměn a jelikož se bez omluvy nedostavil, bylo provedeno v jeho nepřítomnosti. 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>Okresní soud nepochybil ani věcně, jestliže dospěl k závěru, že odsouzený zavdal příčinu k nařízení výkonu dosud podmíněně odloženého trestu odnětí svobody. Odsouzený se nacházel ve zkušební době</w:t>
      </w:r>
      <w:r w:rsidR="00EC30CA" w:rsidRPr="00B06AD7">
        <w:rPr>
          <w:rFonts w:ascii="Garamond" w:hAnsi="Garamond"/>
          <w:color w:val="000000"/>
          <w:sz w:val="24"/>
          <w:szCs w:val="24"/>
        </w:rPr>
        <w:t xml:space="preserve"> </w:t>
      </w:r>
      <w:r w:rsidRPr="00B06AD7">
        <w:rPr>
          <w:rFonts w:ascii="Garamond" w:hAnsi="Garamond"/>
          <w:color w:val="000000"/>
          <w:sz w:val="24"/>
          <w:szCs w:val="24"/>
        </w:rPr>
        <w:t xml:space="preserve">od 12. 11. 2017 do 12. 5. 2020. Přesto, že dosud nebyl vykonán trest vyhoštění, jenž byl odsouzenému uložen v nyní projednávané trestní věci, tak odsouzený dne 21. 8. 2019 vstoupil na území České republiky. Trestním příkazem Okresního soudu v Blansku ze dne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 xml:space="preserve">23. 8. 2019,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sp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>.</w:t>
      </w:r>
      <w:r w:rsidR="00EC30CA" w:rsidRPr="00B06AD7">
        <w:rPr>
          <w:rFonts w:ascii="Garamond" w:hAnsi="Garamond"/>
          <w:color w:val="000000"/>
          <w:sz w:val="24"/>
          <w:szCs w:val="24"/>
        </w:rPr>
        <w:t xml:space="preserve"> </w:t>
      </w:r>
      <w:r w:rsidRPr="00B06AD7">
        <w:rPr>
          <w:rFonts w:ascii="Garamond" w:hAnsi="Garamond"/>
          <w:color w:val="000000"/>
          <w:sz w:val="24"/>
          <w:szCs w:val="24"/>
        </w:rPr>
        <w:t xml:space="preserve">zn. 14 T 189/2019, byl uznán vinným přečinem maření výkonu úředního rozhodnutí a vykázání podle § 337 odst. 1 písm. b)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a odsouzen k dalšímu podmíněnému trestu odnětí svobody a trestu vyhoštění.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Především s ohledem na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jednorázovost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 takovéhoto porušení podmínek vedení řádného života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 xml:space="preserve">a okolnost, že dalším odsuzujícím rozhodnutím byly opětovně ukládány alternativní tresty, lze považovat za odpovídající postup okresního soudu, jestliže napadeným rozhodnutím dal odsouzenému šanci v podobě ponechání podmíněného odsouzení v platnosti, přičemž s ohledem na skutečnost, že dříve stanovená zkušební doba před rozhodováním okresního soudu již uplynula, bylo na místě současně podle § 83 odst. 1 písm. b)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trvání zkušební doby prodloužit.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>Stížností odsouzeného napadané prodloužení zkušební doby o dva roky není nezákonné, neboť ustanovení § 83 odst. 1 písm.</w:t>
      </w:r>
      <w:r w:rsidR="00EC30CA" w:rsidRPr="00B06AD7">
        <w:rPr>
          <w:rFonts w:ascii="Garamond" w:hAnsi="Garamond"/>
          <w:color w:val="000000"/>
          <w:sz w:val="24"/>
          <w:szCs w:val="24"/>
        </w:rPr>
        <w:t xml:space="preserve"> </w:t>
      </w:r>
      <w:r w:rsidRPr="00B06AD7">
        <w:rPr>
          <w:rFonts w:ascii="Garamond" w:hAnsi="Garamond"/>
          <w:color w:val="000000"/>
          <w:sz w:val="24"/>
          <w:szCs w:val="24"/>
        </w:rPr>
        <w:t xml:space="preserve">b)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umožňuje prodloužení zkušební doby právě až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 xml:space="preserve">o dvě léta. Takto prodloužená zkušební doba nesmí překročit horní hranici zkušební doby stanovené v § 82 odst. 1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zákoníku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, tedy pět let. V projednávaném případě tato hranice nebyla napadeným rozhodnutím překročena. </w:t>
      </w:r>
    </w:p>
    <w:p w:rsidR="00CF0DA3" w:rsidRPr="00B06AD7" w:rsidRDefault="00CF0DA3" w:rsidP="00EC30CA">
      <w:pPr>
        <w:numPr>
          <w:ilvl w:val="0"/>
          <w:numId w:val="3"/>
        </w:numPr>
        <w:spacing w:after="120"/>
        <w:ind w:left="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Prodloužení o maximální možnou výměru nelze považovat ani nepřiměřeně přísné. Odsouzený porušil podmínky vedení řádného života spácháním dalšího úmyslného trestného činu, prakticky ignoroval uložený trest vyhoštění z území ČR. Stížnostní soud neshledává racionální důvod k bagatelizaci takovéhoto protizákonného jednání. Z hlediska typové závažnosti takovéto trestné činnosti, jde o protizákonné jednání obdobné společenské škodlivosti jako přečin výtržnictví,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 xml:space="preserve">pro který byl původně podmíněný trest uložen, neboť v případě obou takovýchto protizákonných jednání trestní zákoník umožňuje uložení trestu odnětí svobody v sazbě až na dvě léta. I s ohledem na </w:t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nekontaktnost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 odsouzeného</w:t>
      </w:r>
      <w:r w:rsidR="00EC30CA" w:rsidRPr="00B06AD7">
        <w:rPr>
          <w:rFonts w:ascii="Garamond" w:hAnsi="Garamond"/>
          <w:color w:val="000000"/>
          <w:sz w:val="24"/>
          <w:szCs w:val="24"/>
        </w:rPr>
        <w:t xml:space="preserve"> </w:t>
      </w:r>
      <w:r w:rsidRPr="00B06AD7">
        <w:rPr>
          <w:rFonts w:ascii="Garamond" w:hAnsi="Garamond"/>
          <w:color w:val="000000"/>
          <w:sz w:val="24"/>
          <w:szCs w:val="24"/>
        </w:rPr>
        <w:t xml:space="preserve">a faktickou nemožnost zpřísnit podmínky podmíněného odsouzení případným dohledem nebo stanovením jiných přiměřených omezení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r w:rsidRPr="00B06AD7">
        <w:rPr>
          <w:rFonts w:ascii="Garamond" w:hAnsi="Garamond"/>
          <w:color w:val="000000"/>
          <w:sz w:val="24"/>
          <w:szCs w:val="24"/>
        </w:rPr>
        <w:t>či povinností, je okresním soudem stanovené prodloužení zkušební doby na místě.</w:t>
      </w:r>
    </w:p>
    <w:p w:rsidR="00CF0DA3" w:rsidRPr="00B06AD7" w:rsidRDefault="00CF0DA3" w:rsidP="00EC30CA">
      <w:pPr>
        <w:numPr>
          <w:ilvl w:val="0"/>
          <w:numId w:val="3"/>
        </w:numPr>
        <w:spacing w:after="240"/>
        <w:ind w:left="0" w:hanging="357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S ohledem na shora uvedené byla podaná stížnost jako nedůvodná podle § 148 odst. 1 písm. c) </w:t>
      </w:r>
      <w:r w:rsidR="00EC30CA" w:rsidRPr="00B06AD7">
        <w:rPr>
          <w:rFonts w:ascii="Garamond" w:hAnsi="Garamond"/>
          <w:color w:val="000000"/>
          <w:sz w:val="24"/>
          <w:szCs w:val="24"/>
        </w:rPr>
        <w:br/>
      </w:r>
      <w:proofErr w:type="spellStart"/>
      <w:r w:rsidRPr="00B06AD7">
        <w:rPr>
          <w:rFonts w:ascii="Garamond" w:hAnsi="Garamond"/>
          <w:color w:val="000000"/>
          <w:sz w:val="24"/>
          <w:szCs w:val="24"/>
        </w:rPr>
        <w:t>tr</w:t>
      </w:r>
      <w:proofErr w:type="spellEnd"/>
      <w:r w:rsidRPr="00B06AD7">
        <w:rPr>
          <w:rFonts w:ascii="Garamond" w:hAnsi="Garamond"/>
          <w:color w:val="000000"/>
          <w:sz w:val="24"/>
          <w:szCs w:val="24"/>
        </w:rPr>
        <w:t xml:space="preserve">. </w:t>
      </w:r>
      <w:proofErr w:type="gramStart"/>
      <w:r w:rsidRPr="00B06AD7">
        <w:rPr>
          <w:rFonts w:ascii="Garamond" w:hAnsi="Garamond"/>
          <w:color w:val="000000"/>
          <w:sz w:val="24"/>
          <w:szCs w:val="24"/>
        </w:rPr>
        <w:t>řádu</w:t>
      </w:r>
      <w:proofErr w:type="gramEnd"/>
      <w:r w:rsidRPr="00B06AD7">
        <w:rPr>
          <w:rFonts w:ascii="Garamond" w:hAnsi="Garamond"/>
          <w:color w:val="000000"/>
          <w:sz w:val="24"/>
          <w:szCs w:val="24"/>
        </w:rPr>
        <w:t xml:space="preserve"> zamítnuta.</w:t>
      </w:r>
    </w:p>
    <w:p w:rsidR="00CF0DA3" w:rsidRPr="00B06AD7" w:rsidRDefault="00EC30CA" w:rsidP="00EC30CA">
      <w:pPr>
        <w:spacing w:after="120"/>
        <w:jc w:val="center"/>
        <w:rPr>
          <w:rFonts w:ascii="Garamond" w:hAnsi="Garamond"/>
          <w:b/>
          <w:color w:val="000000"/>
          <w:sz w:val="24"/>
          <w:szCs w:val="24"/>
        </w:rPr>
      </w:pPr>
      <w:r w:rsidRPr="00B06AD7">
        <w:rPr>
          <w:rFonts w:ascii="Garamond" w:hAnsi="Garamond"/>
          <w:b/>
          <w:color w:val="000000"/>
          <w:sz w:val="24"/>
          <w:szCs w:val="24"/>
        </w:rPr>
        <w:t>Poučení:</w:t>
      </w:r>
    </w:p>
    <w:p w:rsidR="00EC30CA" w:rsidRPr="00B06AD7" w:rsidRDefault="00EC30CA" w:rsidP="00CF0DA3">
      <w:pPr>
        <w:spacing w:after="120"/>
        <w:jc w:val="both"/>
        <w:rPr>
          <w:rFonts w:ascii="Garamond" w:hAnsi="Garamond"/>
          <w:b/>
          <w:color w:val="000000"/>
          <w:sz w:val="24"/>
          <w:szCs w:val="24"/>
        </w:rPr>
      </w:pPr>
      <w:r w:rsidRPr="00B06AD7">
        <w:rPr>
          <w:rFonts w:ascii="Garamond" w:hAnsi="Garamond"/>
          <w:b/>
          <w:color w:val="000000"/>
          <w:sz w:val="24"/>
          <w:szCs w:val="24"/>
        </w:rPr>
        <w:t xml:space="preserve">Proti tomuto usnesení není další řádný opravný prostředek přípustný. </w:t>
      </w:r>
    </w:p>
    <w:p w:rsidR="00CF0DA3" w:rsidRPr="00B06AD7" w:rsidRDefault="00CF0DA3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</w:p>
    <w:p w:rsidR="00CF0DA3" w:rsidRPr="00B06AD7" w:rsidRDefault="00EC30CA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>České Budějovice dne 19. 1. 2022</w:t>
      </w:r>
    </w:p>
    <w:p w:rsidR="00EC30CA" w:rsidRPr="00B06AD7" w:rsidRDefault="00EC30CA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</w:p>
    <w:p w:rsidR="00EC30CA" w:rsidRPr="00B06AD7" w:rsidRDefault="00EC30CA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</w:p>
    <w:p w:rsidR="00EC30CA" w:rsidRPr="00B06AD7" w:rsidRDefault="00EC30CA" w:rsidP="00EC30CA">
      <w:pPr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JUDr. Jiří Trnka </w:t>
      </w:r>
      <w:r w:rsidR="00A02810" w:rsidRPr="00B06AD7">
        <w:rPr>
          <w:rFonts w:ascii="Garamond" w:hAnsi="Garamond"/>
          <w:color w:val="000000"/>
          <w:sz w:val="24"/>
          <w:szCs w:val="24"/>
        </w:rPr>
        <w:t xml:space="preserve">v. r. </w:t>
      </w:r>
    </w:p>
    <w:p w:rsidR="00EC30CA" w:rsidRPr="00B06AD7" w:rsidRDefault="00EC30CA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  <w:r w:rsidRPr="00B06AD7">
        <w:rPr>
          <w:rFonts w:ascii="Garamond" w:hAnsi="Garamond"/>
          <w:color w:val="000000"/>
          <w:sz w:val="24"/>
          <w:szCs w:val="24"/>
        </w:rPr>
        <w:t xml:space="preserve">předseda senátu </w:t>
      </w:r>
    </w:p>
    <w:p w:rsidR="00EC30CA" w:rsidRPr="00B06AD7" w:rsidRDefault="00EC30CA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</w:p>
    <w:p w:rsidR="000E1265" w:rsidRPr="00B06AD7" w:rsidRDefault="000E1265" w:rsidP="00CF0DA3">
      <w:pPr>
        <w:spacing w:after="120"/>
        <w:jc w:val="both"/>
        <w:rPr>
          <w:rFonts w:ascii="Garamond" w:hAnsi="Garamond"/>
          <w:color w:val="000000"/>
          <w:sz w:val="24"/>
          <w:szCs w:val="24"/>
        </w:rPr>
      </w:pPr>
    </w:p>
    <w:sectPr w:rsidR="000E1265" w:rsidRPr="00B06AD7" w:rsidSect="00AF6F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426" w:rsidRDefault="00826426" w:rsidP="00AF6F9F">
      <w:r>
        <w:separator/>
      </w:r>
    </w:p>
  </w:endnote>
  <w:endnote w:type="continuationSeparator" w:id="0">
    <w:p w:rsidR="00826426" w:rsidRDefault="00826426" w:rsidP="00AF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10" w:rsidRPr="00A02810" w:rsidRDefault="00A02810">
    <w:pPr>
      <w:pStyle w:val="Zpat"/>
      <w:rPr>
        <w:rFonts w:ascii="Garamond" w:hAnsi="Garamond"/>
      </w:rPr>
    </w:pPr>
    <w:r w:rsidRPr="00A02810">
      <w:rPr>
        <w:rFonts w:ascii="Garamond" w:hAnsi="Garamond"/>
      </w:rPr>
      <w:t xml:space="preserve">Shodu s prvopisem potvrzuje Eva Vomelová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10" w:rsidRPr="00A02810" w:rsidRDefault="00A02810">
    <w:pPr>
      <w:pStyle w:val="Zpat"/>
      <w:rPr>
        <w:rFonts w:ascii="Garamond" w:hAnsi="Garamond"/>
      </w:rPr>
    </w:pPr>
    <w:r w:rsidRPr="00A02810">
      <w:rPr>
        <w:rFonts w:ascii="Garamond" w:hAnsi="Garamond"/>
      </w:rPr>
      <w:t xml:space="preserve">Shodu s prvopisem potvrzuje Eva Vomelová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426" w:rsidRDefault="00826426" w:rsidP="00AF6F9F">
      <w:r>
        <w:separator/>
      </w:r>
    </w:p>
  </w:footnote>
  <w:footnote w:type="continuationSeparator" w:id="0">
    <w:p w:rsidR="00826426" w:rsidRDefault="00826426" w:rsidP="00AF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9F" w:rsidRPr="009553D9" w:rsidRDefault="00AF6F9F" w:rsidP="00AF6F9F">
    <w:pPr>
      <w:pStyle w:val="Zhlav"/>
      <w:rPr>
        <w:rFonts w:ascii="Garamond" w:hAnsi="Garamond"/>
        <w:sz w:val="24"/>
        <w:szCs w:val="24"/>
      </w:rPr>
    </w:pPr>
    <w:r w:rsidRPr="009553D9">
      <w:rPr>
        <w:rFonts w:ascii="Garamond" w:hAnsi="Garamond"/>
        <w:sz w:val="24"/>
        <w:szCs w:val="24"/>
      </w:rPr>
      <w:tab/>
    </w:r>
    <w:r w:rsidRPr="009553D9">
      <w:rPr>
        <w:rFonts w:ascii="Garamond" w:hAnsi="Garamond"/>
        <w:sz w:val="24"/>
        <w:szCs w:val="24"/>
      </w:rPr>
      <w:fldChar w:fldCharType="begin"/>
    </w:r>
    <w:r w:rsidRPr="009553D9">
      <w:rPr>
        <w:rFonts w:ascii="Garamond" w:hAnsi="Garamond"/>
        <w:sz w:val="24"/>
        <w:szCs w:val="24"/>
      </w:rPr>
      <w:instrText xml:space="preserve"> PAGE  \* MERGEFORMAT </w:instrText>
    </w:r>
    <w:r w:rsidRPr="009553D9">
      <w:rPr>
        <w:rFonts w:ascii="Garamond" w:hAnsi="Garamond"/>
        <w:sz w:val="24"/>
        <w:szCs w:val="24"/>
      </w:rPr>
      <w:fldChar w:fldCharType="separate"/>
    </w:r>
    <w:r w:rsidR="00B06AD7">
      <w:rPr>
        <w:rFonts w:ascii="Garamond" w:hAnsi="Garamond"/>
        <w:noProof/>
        <w:sz w:val="24"/>
        <w:szCs w:val="24"/>
      </w:rPr>
      <w:t>2</w:t>
    </w:r>
    <w:r w:rsidRPr="009553D9">
      <w:rPr>
        <w:rFonts w:ascii="Garamond" w:hAnsi="Garamond"/>
        <w:sz w:val="24"/>
        <w:szCs w:val="24"/>
      </w:rPr>
      <w:fldChar w:fldCharType="end"/>
    </w:r>
    <w:r w:rsidRPr="009553D9">
      <w:rPr>
        <w:rFonts w:ascii="Garamond" w:hAnsi="Garamond"/>
        <w:sz w:val="24"/>
        <w:szCs w:val="24"/>
      </w:rPr>
      <w:tab/>
    </w:r>
    <w:r w:rsidR="00C0770D" w:rsidRPr="009553D9">
      <w:rPr>
        <w:rFonts w:ascii="Garamond" w:hAnsi="Garamond"/>
        <w:sz w:val="24"/>
        <w:szCs w:val="24"/>
      </w:rPr>
      <w:fldChar w:fldCharType="begin"/>
    </w:r>
    <w:r w:rsidR="00C0770D" w:rsidRPr="009553D9">
      <w:rPr>
        <w:rFonts w:ascii="Garamond" w:hAnsi="Garamond"/>
        <w:sz w:val="24"/>
        <w:szCs w:val="24"/>
      </w:rPr>
      <w:instrText xml:space="preserve"> REF  spisova_zn_M  \* MERGEFORMAT </w:instrText>
    </w:r>
    <w:r w:rsidR="00C0770D" w:rsidRPr="009553D9">
      <w:rPr>
        <w:rFonts w:ascii="Garamond" w:hAnsi="Garamond"/>
        <w:sz w:val="24"/>
        <w:szCs w:val="24"/>
      </w:rPr>
      <w:fldChar w:fldCharType="separate"/>
    </w:r>
    <w:r w:rsidR="000E1265">
      <w:rPr>
        <w:rFonts w:ascii="Garamond" w:hAnsi="Garamond"/>
        <w:sz w:val="24"/>
        <w:szCs w:val="24"/>
      </w:rPr>
      <w:t>3 To 14/2022</w:t>
    </w:r>
    <w:r w:rsidR="00C0770D" w:rsidRPr="009553D9">
      <w:rPr>
        <w:rFonts w:ascii="Garamond" w:hAnsi="Garamond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12E8" w:rsidRPr="009553D9" w:rsidRDefault="00CF0DA3" w:rsidP="00CF0DA3">
    <w:pPr>
      <w:pStyle w:val="Zhlav"/>
      <w:jc w:val="right"/>
      <w:rPr>
        <w:rFonts w:ascii="Garamond" w:hAnsi="Garamond"/>
        <w:sz w:val="24"/>
        <w:szCs w:val="24"/>
      </w:rPr>
    </w:pPr>
    <w:r>
      <w:rPr>
        <w:rFonts w:ascii="Garamond" w:hAnsi="Garamond"/>
        <w:sz w:val="24"/>
        <w:szCs w:val="24"/>
      </w:rPr>
      <w:t>č</w:t>
    </w:r>
    <w:r w:rsidR="007512E8" w:rsidRPr="009553D9">
      <w:rPr>
        <w:rFonts w:ascii="Garamond" w:hAnsi="Garamond"/>
        <w:sz w:val="24"/>
        <w:szCs w:val="24"/>
      </w:rPr>
      <w:t>.</w:t>
    </w:r>
    <w:r w:rsidR="00EE5E3A" w:rsidRPr="009553D9">
      <w:rPr>
        <w:rFonts w:ascii="Garamond" w:hAnsi="Garamond"/>
        <w:sz w:val="24"/>
        <w:szCs w:val="24"/>
      </w:rPr>
      <w:t xml:space="preserve"> </w:t>
    </w:r>
    <w:r w:rsidR="007512E8" w:rsidRPr="009553D9">
      <w:rPr>
        <w:rFonts w:ascii="Garamond" w:hAnsi="Garamond"/>
        <w:sz w:val="24"/>
        <w:szCs w:val="24"/>
      </w:rPr>
      <w:t xml:space="preserve">j. </w:t>
    </w:r>
    <w:bookmarkStart w:id="1" w:name="spisova_zn_M"/>
    <w:r w:rsidR="00536203">
      <w:rPr>
        <w:rFonts w:ascii="Garamond" w:hAnsi="Garamond"/>
        <w:sz w:val="24"/>
        <w:szCs w:val="24"/>
      </w:rPr>
      <w:t>3 To 14/2022</w:t>
    </w:r>
    <w:bookmarkEnd w:id="1"/>
    <w:r>
      <w:rPr>
        <w:rFonts w:ascii="Garamond" w:hAnsi="Garamond"/>
        <w:sz w:val="24"/>
        <w:szCs w:val="24"/>
      </w:rPr>
      <w:t xml:space="preserve"> –</w:t>
    </w:r>
    <w:r w:rsidR="007512E8" w:rsidRPr="009553D9">
      <w:rPr>
        <w:rFonts w:ascii="Garamond" w:hAnsi="Garamond"/>
        <w:sz w:val="24"/>
        <w:szCs w:val="24"/>
      </w:rPr>
      <w:t xml:space="preserve"> </w:t>
    </w:r>
    <w:bookmarkStart w:id="2" w:name="NRCListu"/>
    <w:r w:rsidR="00536203">
      <w:rPr>
        <w:rFonts w:ascii="Garamond" w:hAnsi="Garamond"/>
        <w:sz w:val="24"/>
        <w:szCs w:val="24"/>
      </w:rPr>
      <w:t>277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C1F42"/>
    <w:multiLevelType w:val="hybridMultilevel"/>
    <w:tmpl w:val="A372CA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3976"/>
    <w:multiLevelType w:val="hybridMultilevel"/>
    <w:tmpl w:val="61ECF042"/>
    <w:lvl w:ilvl="0" w:tplc="D1428342">
      <w:start w:val="1"/>
      <w:numFmt w:val="upperRoman"/>
      <w:lvlText w:val="%1."/>
      <w:lvlJc w:val="left"/>
      <w:pPr>
        <w:ind w:left="720" w:hanging="360"/>
      </w:pPr>
      <w:rPr>
        <w:rFonts w:ascii="Garamond" w:hAnsi="Garamond" w:cs="TimesNewRomanPS-BoldMT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F7D6C"/>
    <w:multiLevelType w:val="hybridMultilevel"/>
    <w:tmpl w:val="511044D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 w:grammar="clean"/>
  <w:attachedTemplate r:id="rId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3To_14_2022_4.docx 2022/01/25 10:59:46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BA37DA"/>
    <w:rsid w:val="00055762"/>
    <w:rsid w:val="000E1265"/>
    <w:rsid w:val="001B0C89"/>
    <w:rsid w:val="0023112F"/>
    <w:rsid w:val="00304621"/>
    <w:rsid w:val="00340A89"/>
    <w:rsid w:val="00364C74"/>
    <w:rsid w:val="003B02B9"/>
    <w:rsid w:val="00470A31"/>
    <w:rsid w:val="00494DDD"/>
    <w:rsid w:val="004D50F4"/>
    <w:rsid w:val="004E2F9F"/>
    <w:rsid w:val="00536203"/>
    <w:rsid w:val="005B65AE"/>
    <w:rsid w:val="005F1E25"/>
    <w:rsid w:val="00631AC3"/>
    <w:rsid w:val="006325EE"/>
    <w:rsid w:val="006C2BA3"/>
    <w:rsid w:val="006E5333"/>
    <w:rsid w:val="006F7B3E"/>
    <w:rsid w:val="007317E7"/>
    <w:rsid w:val="007512E8"/>
    <w:rsid w:val="008229C6"/>
    <w:rsid w:val="00826426"/>
    <w:rsid w:val="009553D9"/>
    <w:rsid w:val="009E7DFF"/>
    <w:rsid w:val="00A02810"/>
    <w:rsid w:val="00A37ECF"/>
    <w:rsid w:val="00A55A5E"/>
    <w:rsid w:val="00A95331"/>
    <w:rsid w:val="00AA6827"/>
    <w:rsid w:val="00AD1654"/>
    <w:rsid w:val="00AF6F9F"/>
    <w:rsid w:val="00B06AD7"/>
    <w:rsid w:val="00BA37DA"/>
    <w:rsid w:val="00BD6C36"/>
    <w:rsid w:val="00BE7B69"/>
    <w:rsid w:val="00C0770D"/>
    <w:rsid w:val="00C16A67"/>
    <w:rsid w:val="00C21DD8"/>
    <w:rsid w:val="00C759D5"/>
    <w:rsid w:val="00CA6EFB"/>
    <w:rsid w:val="00CB6EC6"/>
    <w:rsid w:val="00CF0DA3"/>
    <w:rsid w:val="00CF2A01"/>
    <w:rsid w:val="00D36160"/>
    <w:rsid w:val="00D85F36"/>
    <w:rsid w:val="00D97B6A"/>
    <w:rsid w:val="00EC30CA"/>
    <w:rsid w:val="00EE5E3A"/>
    <w:rsid w:val="00F04316"/>
    <w:rsid w:val="00FB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E2885451-E6DF-42B4-AE52-827760AED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F6F9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AF6F9F"/>
    <w:rPr>
      <w:rFonts w:ascii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AF6F9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6F9F"/>
    <w:rPr>
      <w:rFonts w:ascii="Times New Roman" w:hAnsi="Times New Roman" w:cs="Times New Roman"/>
      <w:sz w:val="20"/>
      <w:szCs w:val="20"/>
    </w:rPr>
  </w:style>
  <w:style w:type="paragraph" w:styleId="Bezmezer">
    <w:name w:val="No Spacing"/>
    <w:uiPriority w:val="1"/>
    <w:qFormat/>
    <w:rsid w:val="00D36160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126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0E1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2</TotalTime>
  <Pages>1</Pages>
  <Words>917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Znak</vt:lpstr>
    </vt:vector>
  </TitlesOfParts>
  <Company>MSp</Company>
  <LinksUpToDate>false</LinksUpToDate>
  <CharactersWithSpaces>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</dc:title>
  <dc:creator>Vomelová Eva DiS.</dc:creator>
  <cp:lastModifiedBy>Petráková Jitka</cp:lastModifiedBy>
  <cp:revision>4</cp:revision>
  <cp:lastPrinted>2022-01-24T08:17:00Z</cp:lastPrinted>
  <dcterms:created xsi:type="dcterms:W3CDTF">2022-02-23T09:22:00Z</dcterms:created>
  <dcterms:modified xsi:type="dcterms:W3CDTF">2022-02-23T09:38:00Z</dcterms:modified>
</cp:coreProperties>
</file>